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22" w:rsidRDefault="00F81322" w:rsidP="00F81322">
      <w:pPr>
        <w:outlineLvl w:val="0"/>
        <w:rPr>
          <w:b/>
          <w:sz w:val="28"/>
          <w:szCs w:val="28"/>
        </w:rPr>
      </w:pPr>
      <w:r>
        <w:rPr>
          <w:b/>
          <w:sz w:val="28"/>
          <w:szCs w:val="28"/>
        </w:rPr>
        <w:t>AP U.S. History—American Imperialism, Progressivism</w:t>
      </w:r>
    </w:p>
    <w:p w:rsidR="00F81322" w:rsidRPr="00F81322" w:rsidRDefault="00F81322" w:rsidP="00F81322">
      <w:pPr>
        <w:rPr>
          <w:b/>
        </w:rPr>
      </w:pPr>
      <w:r w:rsidRPr="00F81322">
        <w:rPr>
          <w:b/>
        </w:rPr>
        <w:t xml:space="preserve">  Key Concept 7.3.I:  Global conflicts over resources, territories, and ideologies renewed debates over the nation’s values and its role in the world, while simultaneously propelling the United States into a dominant international military, political, cultural, and economic position.</w:t>
      </w:r>
      <w:r>
        <w:rPr>
          <w:b/>
        </w:rPr>
        <w:t xml:space="preserve">  </w:t>
      </w:r>
      <w:r w:rsidRPr="00F81322">
        <w:rPr>
          <w:b/>
          <w:color w:val="FF0000"/>
        </w:rPr>
        <w:t>(Chapters 27, 28, 29)</w:t>
      </w:r>
    </w:p>
    <w:p w:rsidR="00F81322" w:rsidRDefault="00F81322" w:rsidP="00F81322">
      <w:pPr>
        <w:pStyle w:val="ListParagraph"/>
        <w:spacing w:after="0" w:line="240" w:lineRule="auto"/>
        <w:ind w:left="0"/>
      </w:pPr>
      <w:r>
        <w:t>A) The perception in the 1890s that the western frontier was “closed,” economic motives, competition with other European imperialist ventures of the time, and racial theories all furthered arguments that Americans were destined to expand their culture and norms to others, especially the non-white nations of the globe.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Imperialism</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Yellow Press/Yellow Journalism </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rPr>
          <w:i/>
        </w:rPr>
      </w:pPr>
      <w:r>
        <w:t>Joseph Pulitzer/</w:t>
      </w:r>
      <w:r w:rsidRPr="006309F6">
        <w:rPr>
          <w:i/>
        </w:rPr>
        <w:t>New York World</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rPr>
          <w:i/>
        </w:rPr>
      </w:pPr>
      <w:r>
        <w:t>William Randolph Hearst/</w:t>
      </w:r>
      <w:r w:rsidRPr="006309F6">
        <w:rPr>
          <w:i/>
        </w:rPr>
        <w:t>New York Journal</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B51F8D">
        <w:rPr>
          <w:i/>
        </w:rPr>
        <w:t>Our Country: Its Possibl</w:t>
      </w:r>
      <w:r>
        <w:rPr>
          <w:i/>
        </w:rPr>
        <w:t>e Future and Its Present Crisis--</w:t>
      </w:r>
      <w:r>
        <w:t xml:space="preserve">Reverend Josiah Strong </w:t>
      </w:r>
    </w:p>
    <w:p w:rsidR="00F81322" w:rsidRPr="00F81322" w:rsidRDefault="00F81322" w:rsidP="00F81322">
      <w:pPr>
        <w:pStyle w:val="ListParagraph"/>
        <w:spacing w:after="0" w:line="240" w:lineRule="auto"/>
        <w:ind w:left="0"/>
        <w:rPr>
          <w:i/>
        </w:rPr>
      </w:pPr>
    </w:p>
    <w:p w:rsidR="00F81322" w:rsidRDefault="00F81322" w:rsidP="00F81322">
      <w:pPr>
        <w:pStyle w:val="ListParagraph"/>
        <w:spacing w:after="0" w:line="240" w:lineRule="auto"/>
        <w:ind w:left="0"/>
      </w:pPr>
      <w:r w:rsidRPr="00B51F8D">
        <w:rPr>
          <w:i/>
        </w:rPr>
        <w:t>The Influence of Sea Power Upon History, 1660-1783</w:t>
      </w:r>
      <w:r>
        <w:rPr>
          <w:i/>
        </w:rPr>
        <w:t>--</w:t>
      </w:r>
      <w:r>
        <w:t>Alfred Thayer Mahan</w:t>
      </w:r>
    </w:p>
    <w:p w:rsidR="00F81322" w:rsidRPr="00F81322" w:rsidRDefault="00F81322" w:rsidP="00F81322">
      <w:pPr>
        <w:pStyle w:val="ListParagraph"/>
        <w:spacing w:after="0" w:line="240" w:lineRule="auto"/>
        <w:ind w:left="0"/>
        <w:rPr>
          <w:i/>
        </w:rPr>
      </w:pPr>
    </w:p>
    <w:p w:rsidR="00F81322" w:rsidRDefault="00F81322" w:rsidP="00F81322">
      <w:pPr>
        <w:pStyle w:val="ListParagraph"/>
        <w:spacing w:after="0" w:line="240" w:lineRule="auto"/>
        <w:ind w:left="0"/>
      </w:pPr>
      <w:r>
        <w:t>Olney interpretation of The Monroe Doctrine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The Venezuelan Crisis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The Great Rapprochement (U.S./British relations)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Queen Liliuokalani/U.S. involvement in Hawaii/missionizing</w:t>
      </w:r>
    </w:p>
    <w:p w:rsidR="00F81322" w:rsidRDefault="00F81322"/>
    <w:p w:rsidR="00F81322" w:rsidRDefault="00F81322"/>
    <w:p w:rsidR="00F81322" w:rsidRDefault="00F81322" w:rsidP="00F81322">
      <w:pPr>
        <w:pStyle w:val="ListParagraph"/>
        <w:spacing w:after="0" w:line="240" w:lineRule="auto"/>
        <w:ind w:left="0"/>
      </w:pPr>
      <w:r>
        <w:t>B) The American victory in the Spanish-American War led to the U.S. acquisition of island territories, an expanded economic and military presence in the Caribbean and Latin America, engagement in a protracted insurrection in the Philippines, and increased involvement in Asia.</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U.S. interests in Cuba</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Tariff policy towards Cuba </w:t>
      </w:r>
    </w:p>
    <w:p w:rsidR="00F81322" w:rsidRDefault="00F81322" w:rsidP="00F81322">
      <w:pPr>
        <w:pStyle w:val="ListParagraph"/>
        <w:spacing w:after="0" w:line="240" w:lineRule="auto"/>
        <w:ind w:left="0"/>
      </w:pPr>
      <w:r>
        <w:t xml:space="preserve">     McKinley Tariff</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     Wilson-Gorham Tariff</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proofErr w:type="spellStart"/>
      <w:r>
        <w:t>Valeriano</w:t>
      </w:r>
      <w:proofErr w:type="spellEnd"/>
      <w:r>
        <w:t xml:space="preserve"> </w:t>
      </w:r>
      <w:proofErr w:type="spellStart"/>
      <w:r>
        <w:t>Weyler</w:t>
      </w:r>
      <w:proofErr w:type="spellEnd"/>
      <w:r>
        <w:t xml:space="preserve"> (“The Butcher”)</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“You furnish the pictures and I’ll furnish the war.”</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The de </w:t>
      </w:r>
      <w:proofErr w:type="spellStart"/>
      <w:r>
        <w:t>Lôme</w:t>
      </w:r>
      <w:proofErr w:type="spellEnd"/>
      <w:r>
        <w:t xml:space="preserve"> Letter</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“Remember the Maine” </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General William R. Shafter</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“Rough Riders”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Teddy Roosevelt</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Battles of El Caney/San Juan Hill</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William McKinley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Jingoes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Teller Amendment</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Commodore George Dewey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Manila, The Philippines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Emilio Aguinaldo</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Annexation of Hawaii</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Sanford B. Dole</w:t>
      </w:r>
    </w:p>
    <w:p w:rsidR="00F81322" w:rsidRDefault="00F81322"/>
    <w:p w:rsidR="00F81322" w:rsidRDefault="00F81322">
      <w:r>
        <w:t>C) Questions about America’s role in the world generated considerable debate, prompting the development of a wide variety of views and arguments between imperialists and anti-imperialists and, later, interventionists and isolationists.</w:t>
      </w:r>
    </w:p>
    <w:p w:rsidR="00F81322" w:rsidRDefault="00F81322" w:rsidP="00F81322">
      <w:pPr>
        <w:pStyle w:val="ListParagraph"/>
        <w:spacing w:after="0" w:line="240" w:lineRule="auto"/>
        <w:ind w:left="0"/>
      </w:pPr>
      <w:r>
        <w:t>1898 as turning point in American history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proofErr w:type="gramStart"/>
      <w:r>
        <w:t>dollar</w:t>
      </w:r>
      <w:proofErr w:type="gramEnd"/>
      <w:r>
        <w:t xml:space="preserve"> diplomacy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Guam</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Puerto Rico</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The Philippines/”The Philippine Question”</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Filipino Insurrection</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The Anti-Imperialist League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“The White Man’s Burden”/Rudyard Kipling</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rPr>
          <w:i/>
        </w:rPr>
      </w:pPr>
      <w:r w:rsidRPr="002349F0">
        <w:rPr>
          <w:i/>
        </w:rPr>
        <w:t>Insular Cases</w:t>
      </w:r>
    </w:p>
    <w:p w:rsidR="00F81322" w:rsidRPr="002349F0" w:rsidRDefault="00F81322" w:rsidP="00F81322">
      <w:pPr>
        <w:pStyle w:val="ListParagraph"/>
        <w:spacing w:after="0" w:line="240" w:lineRule="auto"/>
        <w:ind w:left="0"/>
        <w:rPr>
          <w:i/>
        </w:rPr>
      </w:pPr>
    </w:p>
    <w:p w:rsidR="00F81322" w:rsidRDefault="00F81322" w:rsidP="00F81322">
      <w:pPr>
        <w:pStyle w:val="ListParagraph"/>
        <w:spacing w:after="0" w:line="240" w:lineRule="auto"/>
        <w:ind w:left="0"/>
      </w:pPr>
      <w:r>
        <w:t>Platt Amendment</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Guantanamo</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Open Door Policy/John Hay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Election of 1900</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   William McKinley/Teddy Roosevelt (Republican candidates)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   William Jennings Bryan (Democratic candidate)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Teddy Roosevelt’s character</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Hay-</w:t>
      </w:r>
      <w:proofErr w:type="spellStart"/>
      <w:r>
        <w:t>Pauncefote</w:t>
      </w:r>
      <w:proofErr w:type="spellEnd"/>
      <w:r>
        <w:t xml:space="preserve"> Treaty (1901)</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U.S. involvement in Panama revolution</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Panama Canal</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“Big Stick” diplomacy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Roosevelt Corollary to the Monroe Doctrine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Roosevelt mediation of Russo-Japanese War (1904)</w:t>
      </w:r>
    </w:p>
    <w:p w:rsidR="00F81322" w:rsidRDefault="00F81322" w:rsidP="00F81322">
      <w:pPr>
        <w:pStyle w:val="ListParagraph"/>
        <w:spacing w:after="0" w:line="240" w:lineRule="auto"/>
        <w:ind w:left="0"/>
      </w:pPr>
    </w:p>
    <w:p w:rsidR="00F81322" w:rsidRDefault="00F81322" w:rsidP="00F81322">
      <w:r>
        <w:t>Japanese migration to California/Gentleman’s Agreement</w:t>
      </w:r>
    </w:p>
    <w:p w:rsidR="00F81322" w:rsidRDefault="00F81322" w:rsidP="00F81322">
      <w:pPr>
        <w:rPr>
          <w:b/>
        </w:rPr>
      </w:pPr>
    </w:p>
    <w:p w:rsidR="00F81322" w:rsidRDefault="00F81322" w:rsidP="00F81322">
      <w:pPr>
        <w:rPr>
          <w:b/>
        </w:rPr>
      </w:pPr>
    </w:p>
    <w:p w:rsidR="00F81322" w:rsidRDefault="00F81322" w:rsidP="00F81322">
      <w:pPr>
        <w:rPr>
          <w:b/>
        </w:rPr>
      </w:pPr>
    </w:p>
    <w:p w:rsidR="00F81322" w:rsidRDefault="00F81322" w:rsidP="00F81322">
      <w:pPr>
        <w:rPr>
          <w:b/>
        </w:rPr>
      </w:pPr>
    </w:p>
    <w:p w:rsidR="00F81322" w:rsidRDefault="00F81322" w:rsidP="00F81322">
      <w:pPr>
        <w:rPr>
          <w:b/>
        </w:rPr>
      </w:pPr>
    </w:p>
    <w:p w:rsidR="00F81322" w:rsidRDefault="00F81322" w:rsidP="00F81322">
      <w:pPr>
        <w:rPr>
          <w:b/>
        </w:rPr>
      </w:pPr>
    </w:p>
    <w:p w:rsidR="00F81322" w:rsidRPr="00F81322" w:rsidRDefault="00F81322" w:rsidP="00F81322">
      <w:pPr>
        <w:rPr>
          <w:b/>
        </w:rPr>
      </w:pPr>
    </w:p>
    <w:p w:rsidR="00F81322" w:rsidRPr="00F81322" w:rsidRDefault="00F81322" w:rsidP="00F81322">
      <w:pPr>
        <w:spacing w:after="0" w:line="240" w:lineRule="auto"/>
        <w:rPr>
          <w:b/>
        </w:rPr>
      </w:pPr>
      <w:r w:rsidRPr="00F81322">
        <w:rPr>
          <w:b/>
        </w:rPr>
        <w:t>Key Concept 7.1.II</w:t>
      </w:r>
    </w:p>
    <w:p w:rsidR="00F81322" w:rsidRDefault="00F81322" w:rsidP="00F81322">
      <w:pPr>
        <w:spacing w:after="0" w:line="240" w:lineRule="auto"/>
        <w:rPr>
          <w:b/>
          <w:color w:val="FF0000"/>
        </w:rPr>
      </w:pPr>
      <w:r w:rsidRPr="00F81322">
        <w:rPr>
          <w:b/>
        </w:rPr>
        <w:t>Progressive reformers responded to economic instability, social inequality, and political corruption by calling for government intervention in the economy, expanded democracy, greater social justice, and conservation of natural resources.</w:t>
      </w:r>
      <w:r>
        <w:rPr>
          <w:b/>
        </w:rPr>
        <w:t xml:space="preserve">  </w:t>
      </w:r>
      <w:r w:rsidRPr="00F81322">
        <w:rPr>
          <w:b/>
          <w:color w:val="FF0000"/>
        </w:rPr>
        <w:t>(Chapters 29,30)</w:t>
      </w:r>
    </w:p>
    <w:p w:rsidR="00F81322" w:rsidRDefault="00F81322" w:rsidP="00F81322">
      <w:pPr>
        <w:spacing w:after="0" w:line="240" w:lineRule="auto"/>
        <w:rPr>
          <w:b/>
          <w:color w:val="FF0000"/>
        </w:rPr>
      </w:pPr>
    </w:p>
    <w:p w:rsidR="00F81322" w:rsidRDefault="00F81322" w:rsidP="00F81322">
      <w:pPr>
        <w:pStyle w:val="ListParagraph"/>
        <w:spacing w:after="0" w:line="240" w:lineRule="auto"/>
        <w:ind w:left="0"/>
      </w:pPr>
      <w:r>
        <w:t>A) In the late 1890s and the early years of the 20</w:t>
      </w:r>
      <w:r w:rsidRPr="00BD6715">
        <w:rPr>
          <w:vertAlign w:val="superscript"/>
        </w:rPr>
        <w:t>th</w:t>
      </w:r>
      <w:r>
        <w:t xml:space="preserve"> century, journalists and Progressive reformers—largely urban and middle class and often female—worked to reform existing social and political institutions at the local, state, and federal levels by creating new organizations aimed at addressing social problems associated with an industrial society.</w:t>
      </w:r>
    </w:p>
    <w:p w:rsidR="00F81322" w:rsidRDefault="00F81322" w:rsidP="00F81322">
      <w:pPr>
        <w:spacing w:after="0" w:line="240" w:lineRule="auto"/>
        <w:rPr>
          <w:b/>
        </w:rPr>
      </w:pPr>
    </w:p>
    <w:p w:rsidR="00F81322" w:rsidRDefault="00F81322" w:rsidP="00F81322">
      <w:pPr>
        <w:pStyle w:val="ListParagraph"/>
        <w:spacing w:after="0" w:line="240" w:lineRule="auto"/>
        <w:ind w:left="0"/>
      </w:pPr>
      <w:r>
        <w:t xml:space="preserve">Roots of Progressivism </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Muckrakers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BD6715">
        <w:rPr>
          <w:i/>
        </w:rPr>
        <w:t>Wealth Against Commonwealth</w:t>
      </w:r>
      <w:r>
        <w:rPr>
          <w:i/>
        </w:rPr>
        <w:t>/</w:t>
      </w:r>
      <w:r>
        <w:t>Henry Demarest Lloyd</w:t>
      </w:r>
    </w:p>
    <w:p w:rsidR="00F81322" w:rsidRPr="0070703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BD6715">
        <w:rPr>
          <w:i/>
        </w:rPr>
        <w:t>The Theory of the Leisure Class</w:t>
      </w:r>
      <w:r>
        <w:rPr>
          <w:i/>
        </w:rPr>
        <w:t>/</w:t>
      </w:r>
      <w:proofErr w:type="spellStart"/>
      <w:r>
        <w:t>Thorstein</w:t>
      </w:r>
      <w:proofErr w:type="spellEnd"/>
      <w:r>
        <w:t xml:space="preserve"> Veblen</w:t>
      </w:r>
    </w:p>
    <w:p w:rsidR="00F81322" w:rsidRPr="0070703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BD6715">
        <w:rPr>
          <w:i/>
        </w:rPr>
        <w:t>How the Other Half Lives</w:t>
      </w:r>
      <w:r>
        <w:rPr>
          <w:i/>
        </w:rPr>
        <w:t>/</w:t>
      </w:r>
      <w:r>
        <w:t>Jacob Riis</w:t>
      </w:r>
    </w:p>
    <w:p w:rsidR="00F81322" w:rsidRPr="0070703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BD6715">
        <w:rPr>
          <w:i/>
        </w:rPr>
        <w:t>Bitter Cry of the Children</w:t>
      </w:r>
      <w:r>
        <w:rPr>
          <w:i/>
        </w:rPr>
        <w:t>/</w:t>
      </w:r>
      <w:r>
        <w:t xml:space="preserve">John </w:t>
      </w:r>
      <w:proofErr w:type="spellStart"/>
      <w:r>
        <w:t>Spargo</w:t>
      </w:r>
      <w:proofErr w:type="spellEnd"/>
    </w:p>
    <w:p w:rsidR="00F81322" w:rsidRPr="00707032" w:rsidRDefault="00F81322" w:rsidP="00F81322">
      <w:pPr>
        <w:pStyle w:val="ListParagraph"/>
        <w:spacing w:after="0" w:line="240" w:lineRule="auto"/>
        <w:ind w:left="0"/>
      </w:pPr>
    </w:p>
    <w:p w:rsidR="00F81322" w:rsidRDefault="00F81322" w:rsidP="00F81322">
      <w:pPr>
        <w:pStyle w:val="ListParagraph"/>
        <w:spacing w:after="0" w:line="240" w:lineRule="auto"/>
        <w:ind w:left="0"/>
      </w:pPr>
      <w:r>
        <w:rPr>
          <w:i/>
        </w:rPr>
        <w:t>The Shame of the Cities</w:t>
      </w:r>
      <w:r w:rsidRPr="001F3007">
        <w:rPr>
          <w:i/>
        </w:rPr>
        <w:t>/</w:t>
      </w:r>
      <w:r>
        <w:t>Lincoln Steffens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rPr>
          <w:i/>
        </w:rPr>
        <w:t>The History of the Standard Oil Company/</w:t>
      </w:r>
      <w:r>
        <w:t>Ida Tarbell</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F67A3F">
        <w:rPr>
          <w:i/>
        </w:rPr>
        <w:t>Following the Color Line</w:t>
      </w:r>
      <w:r>
        <w:t xml:space="preserve">/Ray </w:t>
      </w:r>
      <w:proofErr w:type="spellStart"/>
      <w:r>
        <w:t>Stannard</w:t>
      </w:r>
      <w:proofErr w:type="spellEnd"/>
      <w:r>
        <w:t xml:space="preserve"> Baker</w:t>
      </w:r>
    </w:p>
    <w:p w:rsidR="00F81322" w:rsidRDefault="00F81322" w:rsidP="00F81322">
      <w:pPr>
        <w:pStyle w:val="ListParagraph"/>
        <w:spacing w:after="0" w:line="240" w:lineRule="auto"/>
        <w:ind w:left="0"/>
      </w:pPr>
      <w:r>
        <w:t xml:space="preserve"> </w:t>
      </w:r>
    </w:p>
    <w:p w:rsidR="00F81322" w:rsidRDefault="00F81322" w:rsidP="00F81322">
      <w:pPr>
        <w:pStyle w:val="ListParagraph"/>
        <w:spacing w:after="0" w:line="240" w:lineRule="auto"/>
        <w:ind w:left="0"/>
      </w:pPr>
      <w:r>
        <w:t>Direct primaries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Initiative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Referendum</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Recall</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Robert “Fighting Bob” </w:t>
      </w:r>
      <w:proofErr w:type="spellStart"/>
      <w:r>
        <w:t>LaFollette</w:t>
      </w:r>
      <w:proofErr w:type="spellEnd"/>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Hiram W. Johnson</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Charles Evans Hughes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Jane Addams/Hull House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proofErr w:type="spellStart"/>
      <w:r w:rsidRPr="007F0818">
        <w:rPr>
          <w:i/>
        </w:rPr>
        <w:t>Lochner</w:t>
      </w:r>
      <w:proofErr w:type="spellEnd"/>
      <w:r w:rsidRPr="007F0818">
        <w:rPr>
          <w:i/>
        </w:rPr>
        <w:t xml:space="preserve"> v. New York</w:t>
      </w:r>
      <w:r>
        <w:t xml:space="preserve"> (1905)</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C6464C">
        <w:rPr>
          <w:i/>
        </w:rPr>
        <w:t>Muller v. Oregon</w:t>
      </w:r>
      <w:r>
        <w:rPr>
          <w:i/>
        </w:rPr>
        <w:t xml:space="preserve"> </w:t>
      </w:r>
      <w:r>
        <w:t>(1908)</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Triangle Shirtwaist Fire (1911) </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Women’s Christian Temperance Union</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Social Gospel</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Women’s club movement</w:t>
      </w:r>
    </w:p>
    <w:p w:rsidR="00F81322" w:rsidRDefault="00F81322" w:rsidP="00F81322">
      <w:pPr>
        <w:spacing w:after="0" w:line="240" w:lineRule="auto"/>
        <w:rPr>
          <w:b/>
        </w:rPr>
      </w:pPr>
    </w:p>
    <w:p w:rsidR="00F81322" w:rsidRDefault="00F81322" w:rsidP="00F81322">
      <w:pPr>
        <w:spacing w:after="0" w:line="240" w:lineRule="auto"/>
        <w:rPr>
          <w:b/>
        </w:rPr>
      </w:pPr>
    </w:p>
    <w:p w:rsidR="00F81322" w:rsidRPr="00700095" w:rsidRDefault="00F81322" w:rsidP="00F81322">
      <w:pPr>
        <w:pStyle w:val="ListParagraph"/>
        <w:spacing w:after="0" w:line="240" w:lineRule="auto"/>
        <w:ind w:left="0"/>
      </w:pPr>
      <w:r>
        <w:t>B) Progressives promoted federal legislation to regulate abuses of the economy and the environment, and many sought to expand democracy.</w:t>
      </w:r>
    </w:p>
    <w:p w:rsidR="00F81322" w:rsidRDefault="00F81322" w:rsidP="00F81322">
      <w:pPr>
        <w:spacing w:after="0" w:line="240" w:lineRule="auto"/>
        <w:rPr>
          <w:b/>
        </w:rPr>
      </w:pPr>
    </w:p>
    <w:p w:rsidR="00F81322" w:rsidRDefault="00F81322" w:rsidP="00F81322">
      <w:pPr>
        <w:pStyle w:val="ListParagraph"/>
        <w:spacing w:after="0" w:line="240" w:lineRule="auto"/>
        <w:ind w:left="0"/>
      </w:pPr>
      <w:r>
        <w:t>Teddy Roosevelt’s Square Deal</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Anthracite Coal Strike (1902)</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Department of Commerce and Labor (1903)</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Bureau of Corporations (1903)</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Elkins Act (1903)</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Hepburn Act (1906)</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Interstate Commerce Commission (new powers) “trust=busting”</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“Good” trusts and “bad” trusts </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Florence Kelley/sweatshops</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FA603F">
        <w:rPr>
          <w:i/>
        </w:rPr>
        <w:t>Northern Securities Co. v. United States</w:t>
      </w:r>
      <w:r>
        <w:rPr>
          <w:i/>
        </w:rPr>
        <w:t xml:space="preserve"> </w:t>
      </w:r>
      <w:r>
        <w:t>(1904)</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rsidRPr="00F83E6D">
        <w:rPr>
          <w:i/>
        </w:rPr>
        <w:t>The Jungle</w:t>
      </w:r>
      <w:r>
        <w:t>/Upton Sinclair</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Meat Inspection Act (1906)</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Pure Food and Drug Act (1906)</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Forest Reserve Act (1891)</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Newlands Act (1902)</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Sierra Club/John Muir </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Gifford Pinchot</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proofErr w:type="spellStart"/>
      <w:r>
        <w:t>Hetch</w:t>
      </w:r>
      <w:proofErr w:type="spellEnd"/>
      <w:r>
        <w:t xml:space="preserve"> </w:t>
      </w:r>
      <w:proofErr w:type="spellStart"/>
      <w:r>
        <w:t>Hetchy</w:t>
      </w:r>
      <w:proofErr w:type="spellEnd"/>
      <w:r>
        <w:t xml:space="preserve"> Controversy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Forest Service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Bureau of Reclamation</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Panic of 1907</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Aldrich Vreeland Act (1908)</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Election of 1908</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William Howard Taft</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William Jennings Bryan</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“Dollar Diplomacy” (China, the Caribbean)</w:t>
      </w:r>
    </w:p>
    <w:p w:rsidR="00F81322" w:rsidRDefault="00F81322" w:rsidP="00F81322">
      <w:pPr>
        <w:pStyle w:val="ListParagraph"/>
        <w:spacing w:after="0" w:line="240" w:lineRule="auto"/>
        <w:ind w:left="0"/>
      </w:pPr>
      <w:r>
        <w:t xml:space="preserve"> </w:t>
      </w:r>
    </w:p>
    <w:p w:rsidR="00F81322" w:rsidRDefault="00F81322" w:rsidP="00F81322">
      <w:pPr>
        <w:pStyle w:val="ListParagraph"/>
        <w:spacing w:after="0" w:line="240" w:lineRule="auto"/>
        <w:ind w:left="0"/>
      </w:pPr>
      <w:r>
        <w:t>Taft as trustbuster</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Payne-Aldrich Tariff (1909)</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Ballinger-Pinchot Controversy</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Election of 1912</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 xml:space="preserve">   Teddy Roosevelt--“Bull Moose Campaign” </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Woodrow Wilson--“New Nationalism”</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Underwood Tariff</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t>
      </w:r>
      <w:proofErr w:type="gramStart"/>
      <w:r>
        <w:t>triple</w:t>
      </w:r>
      <w:proofErr w:type="gramEnd"/>
      <w:r>
        <w:t xml:space="preserve"> wall of privilege”</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Federal Reserve Act (1913)</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Federal Trade Commission Act (1914)</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Clayton Antitrust Act (1914)</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Workingmen’s Compensation Act (1916)</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Adamson Act (1916)</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16</w:t>
      </w:r>
      <w:r w:rsidRPr="00BD6715">
        <w:rPr>
          <w:vertAlign w:val="superscript"/>
        </w:rPr>
        <w:t>th</w:t>
      </w:r>
      <w:r>
        <w:t xml:space="preserve"> Amendment</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17</w:t>
      </w:r>
      <w:r w:rsidRPr="00BD6715">
        <w:rPr>
          <w:vertAlign w:val="superscript"/>
        </w:rPr>
        <w:t>th</w:t>
      </w:r>
      <w:r>
        <w:t xml:space="preserve"> Amendment</w:t>
      </w:r>
    </w:p>
    <w:p w:rsidR="00F81322" w:rsidRDefault="00F81322" w:rsidP="00F81322">
      <w:pPr>
        <w:pStyle w:val="ListParagraph"/>
        <w:spacing w:after="0" w:line="240" w:lineRule="auto"/>
        <w:ind w:left="0"/>
      </w:pPr>
    </w:p>
    <w:p w:rsidR="00F81322" w:rsidRDefault="00F81322" w:rsidP="00F81322">
      <w:pPr>
        <w:pStyle w:val="ListParagraph"/>
        <w:spacing w:after="0" w:line="240" w:lineRule="auto"/>
        <w:ind w:left="0"/>
      </w:pPr>
      <w:r>
        <w:t>18</w:t>
      </w:r>
      <w:r w:rsidRPr="00BD6715">
        <w:rPr>
          <w:vertAlign w:val="superscript"/>
        </w:rPr>
        <w:t>th</w:t>
      </w:r>
      <w:r>
        <w:t xml:space="preserve"> Amendment</w:t>
      </w:r>
    </w:p>
    <w:p w:rsidR="00F81322" w:rsidRDefault="00F81322" w:rsidP="00F81322">
      <w:pPr>
        <w:pStyle w:val="ListParagraph"/>
        <w:spacing w:after="0" w:line="240" w:lineRule="auto"/>
        <w:ind w:left="0"/>
      </w:pPr>
      <w:bookmarkStart w:id="0" w:name="_GoBack"/>
      <w:bookmarkEnd w:id="0"/>
    </w:p>
    <w:p w:rsidR="00F81322" w:rsidRPr="00F81322" w:rsidRDefault="00F81322" w:rsidP="00F81322">
      <w:pPr>
        <w:spacing w:after="0" w:line="240" w:lineRule="auto"/>
        <w:rPr>
          <w:b/>
        </w:rPr>
      </w:pPr>
      <w:r>
        <w:t>19</w:t>
      </w:r>
      <w:r w:rsidRPr="00BD6715">
        <w:rPr>
          <w:vertAlign w:val="superscript"/>
        </w:rPr>
        <w:t>th</w:t>
      </w:r>
      <w:r>
        <w:t xml:space="preserve"> Amendment</w:t>
      </w:r>
    </w:p>
    <w:sectPr w:rsidR="00F81322" w:rsidRPr="00F81322" w:rsidSect="006555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22"/>
    <w:rsid w:val="000A19EE"/>
    <w:rsid w:val="00655535"/>
    <w:rsid w:val="009212ED"/>
    <w:rsid w:val="00F8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79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2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2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812</Words>
  <Characters>4633</Characters>
  <Application>Microsoft Macintosh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1</cp:revision>
  <dcterms:created xsi:type="dcterms:W3CDTF">2015-01-06T14:23:00Z</dcterms:created>
  <dcterms:modified xsi:type="dcterms:W3CDTF">2015-01-06T14:37:00Z</dcterms:modified>
</cp:coreProperties>
</file>